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numPr>
          <w:ilvl w:val="0"/>
          <w:numId w:val="1"/>
        </w:numPr>
        <w:spacing w:line="240" w:lineRule="auto"/>
      </w:pPr>
      <w:bookmarkStart w:id="0" w:name="_GoBack"/>
      <w:bookmarkEnd w:id="0"/>
      <w:r>
        <w:t>采购需求：</w:t>
      </w:r>
    </w:p>
    <w:p>
      <w:pPr>
        <w:pStyle w:val="10"/>
        <w:numPr>
          <w:ilvl w:val="0"/>
          <w:numId w:val="2"/>
        </w:numPr>
        <w:ind w:firstLineChars="0"/>
        <w:rPr>
          <w:b w:val="0"/>
        </w:rPr>
      </w:pPr>
      <w:r>
        <w:rPr>
          <w:rFonts w:hint="eastAsia"/>
          <w:b w:val="0"/>
        </w:rPr>
        <w:t xml:space="preserve">采购清单 </w:t>
      </w:r>
    </w:p>
    <w:tbl>
      <w:tblPr>
        <w:tblStyle w:val="8"/>
        <w:tblW w:w="5000" w:type="pct"/>
        <w:tblInd w:w="0" w:type="dxa"/>
        <w:tblLayout w:type="autofit"/>
        <w:tblCellMar>
          <w:top w:w="0" w:type="dxa"/>
          <w:left w:w="108" w:type="dxa"/>
          <w:bottom w:w="0" w:type="dxa"/>
          <w:right w:w="108" w:type="dxa"/>
        </w:tblCellMar>
      </w:tblPr>
      <w:tblGrid>
        <w:gridCol w:w="997"/>
        <w:gridCol w:w="2413"/>
        <w:gridCol w:w="4118"/>
        <w:gridCol w:w="994"/>
      </w:tblGrid>
      <w:tr>
        <w:trPr>
          <w:trHeight w:val="315" w:hRule="atLeast"/>
        </w:trPr>
        <w:tc>
          <w:tcPr>
            <w:tcW w:w="585" w:type="pct"/>
            <w:tcBorders>
              <w:top w:val="single" w:color="auto" w:sz="4" w:space="0"/>
              <w:left w:val="single" w:color="auto" w:sz="4" w:space="0"/>
              <w:bottom w:val="single" w:color="auto" w:sz="4" w:space="0"/>
              <w:right w:val="single" w:color="auto" w:sz="4" w:space="0"/>
            </w:tcBorders>
            <w:shd w:val="clear" w:color="000000" w:fill="00B0F0"/>
            <w:vAlign w:val="center"/>
          </w:tcPr>
          <w:p>
            <w:pPr>
              <w:widowControl/>
              <w:jc w:val="center"/>
              <w:rPr>
                <w:rFonts w:ascii="宋体" w:hAnsi="宋体" w:eastAsia="宋体" w:cs="宋体"/>
                <w:b w:val="0"/>
                <w:sz w:val="21"/>
                <w:szCs w:val="21"/>
              </w:rPr>
            </w:pPr>
            <w:r>
              <w:rPr>
                <w:rFonts w:hint="eastAsia" w:ascii="宋体" w:hAnsi="宋体" w:eastAsia="宋体" w:cs="宋体"/>
                <w:b w:val="0"/>
                <w:sz w:val="21"/>
                <w:szCs w:val="21"/>
              </w:rPr>
              <w:t>序号</w:t>
            </w:r>
          </w:p>
        </w:tc>
        <w:tc>
          <w:tcPr>
            <w:tcW w:w="1416" w:type="pct"/>
            <w:tcBorders>
              <w:top w:val="single" w:color="auto" w:sz="4" w:space="0"/>
              <w:left w:val="nil"/>
              <w:bottom w:val="single" w:color="auto" w:sz="4" w:space="0"/>
              <w:right w:val="single" w:color="auto" w:sz="4" w:space="0"/>
            </w:tcBorders>
            <w:shd w:val="clear" w:color="000000" w:fill="00B0F0"/>
            <w:vAlign w:val="center"/>
          </w:tcPr>
          <w:p>
            <w:pPr>
              <w:widowControl/>
              <w:jc w:val="center"/>
              <w:rPr>
                <w:rFonts w:ascii="宋体" w:hAnsi="宋体" w:eastAsia="宋体" w:cs="宋体"/>
                <w:b w:val="0"/>
                <w:sz w:val="21"/>
                <w:szCs w:val="21"/>
              </w:rPr>
            </w:pPr>
            <w:r>
              <w:rPr>
                <w:rFonts w:hint="eastAsia" w:ascii="宋体" w:hAnsi="宋体" w:eastAsia="宋体" w:cs="宋体"/>
                <w:b w:val="0"/>
                <w:sz w:val="21"/>
                <w:szCs w:val="21"/>
              </w:rPr>
              <w:t>产品名称</w:t>
            </w:r>
          </w:p>
        </w:tc>
        <w:tc>
          <w:tcPr>
            <w:tcW w:w="2416" w:type="pct"/>
            <w:tcBorders>
              <w:top w:val="single" w:color="auto" w:sz="4" w:space="0"/>
              <w:left w:val="nil"/>
              <w:bottom w:val="single" w:color="auto" w:sz="4" w:space="0"/>
              <w:right w:val="single" w:color="auto" w:sz="4" w:space="0"/>
            </w:tcBorders>
            <w:shd w:val="clear" w:color="000000" w:fill="00B0F0"/>
            <w:vAlign w:val="center"/>
          </w:tcPr>
          <w:p>
            <w:pPr>
              <w:widowControl/>
              <w:jc w:val="center"/>
              <w:rPr>
                <w:rFonts w:ascii="宋体" w:hAnsi="宋体" w:eastAsia="宋体" w:cs="宋体"/>
                <w:b w:val="0"/>
                <w:sz w:val="21"/>
                <w:szCs w:val="21"/>
              </w:rPr>
            </w:pPr>
            <w:r>
              <w:rPr>
                <w:rFonts w:hint="eastAsia" w:ascii="宋体" w:hAnsi="宋体" w:eastAsia="宋体" w:cs="宋体"/>
                <w:b w:val="0"/>
                <w:sz w:val="21"/>
                <w:szCs w:val="21"/>
              </w:rPr>
              <w:t>产品描述</w:t>
            </w:r>
          </w:p>
        </w:tc>
        <w:tc>
          <w:tcPr>
            <w:tcW w:w="583" w:type="pct"/>
            <w:tcBorders>
              <w:top w:val="single" w:color="auto" w:sz="4" w:space="0"/>
              <w:left w:val="nil"/>
              <w:bottom w:val="single" w:color="auto" w:sz="4" w:space="0"/>
              <w:right w:val="single" w:color="auto" w:sz="4" w:space="0"/>
            </w:tcBorders>
            <w:shd w:val="clear" w:color="000000" w:fill="00B0F0"/>
            <w:vAlign w:val="center"/>
          </w:tcPr>
          <w:p>
            <w:pPr>
              <w:widowControl/>
              <w:jc w:val="center"/>
              <w:rPr>
                <w:rFonts w:ascii="宋体" w:hAnsi="宋体" w:eastAsia="宋体" w:cs="宋体"/>
                <w:b w:val="0"/>
                <w:sz w:val="21"/>
                <w:szCs w:val="21"/>
              </w:rPr>
            </w:pPr>
            <w:r>
              <w:rPr>
                <w:rFonts w:hint="eastAsia" w:ascii="宋体" w:hAnsi="宋体" w:eastAsia="宋体" w:cs="宋体"/>
                <w:b w:val="0"/>
                <w:sz w:val="21"/>
                <w:szCs w:val="21"/>
              </w:rPr>
              <w:t>数量</w:t>
            </w:r>
          </w:p>
        </w:tc>
      </w:tr>
      <w:tr>
        <w:tblPrEx>
          <w:tblCellMar>
            <w:top w:w="0" w:type="dxa"/>
            <w:left w:w="108" w:type="dxa"/>
            <w:bottom w:w="0" w:type="dxa"/>
            <w:right w:w="108" w:type="dxa"/>
          </w:tblCellMar>
        </w:tblPrEx>
        <w:trPr>
          <w:trHeight w:val="957" w:hRule="atLeast"/>
        </w:trPr>
        <w:tc>
          <w:tcPr>
            <w:tcW w:w="585" w:type="pc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b w:val="0"/>
                <w:sz w:val="21"/>
                <w:szCs w:val="21"/>
              </w:rPr>
            </w:pPr>
            <w:r>
              <w:rPr>
                <w:rFonts w:hint="eastAsia" w:ascii="宋体" w:hAnsi="宋体" w:eastAsia="宋体" w:cs="宋体"/>
                <w:b w:val="0"/>
                <w:sz w:val="21"/>
                <w:szCs w:val="21"/>
              </w:rPr>
              <w:t>1</w:t>
            </w:r>
          </w:p>
        </w:tc>
        <w:tc>
          <w:tcPr>
            <w:tcW w:w="1416"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b w:val="0"/>
                <w:sz w:val="21"/>
                <w:szCs w:val="21"/>
              </w:rPr>
            </w:pPr>
            <w:r>
              <w:rPr>
                <w:rFonts w:hint="eastAsia" w:ascii="宋体" w:hAnsi="宋体" w:eastAsia="宋体" w:cs="宋体"/>
                <w:b w:val="0"/>
                <w:sz w:val="21"/>
                <w:szCs w:val="21"/>
              </w:rPr>
              <w:t>HIS数据库升级</w:t>
            </w:r>
          </w:p>
        </w:tc>
        <w:tc>
          <w:tcPr>
            <w:tcW w:w="2416" w:type="pct"/>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b w:val="0"/>
                <w:sz w:val="21"/>
                <w:szCs w:val="21"/>
              </w:rPr>
            </w:pPr>
            <w:r>
              <w:rPr>
                <w:rFonts w:hint="eastAsia" w:ascii="宋体" w:hAnsi="宋体" w:eastAsia="宋体" w:cs="宋体"/>
                <w:b w:val="0"/>
                <w:sz w:val="21"/>
                <w:szCs w:val="21"/>
              </w:rPr>
              <w:t>详见详细技术参数</w:t>
            </w:r>
          </w:p>
        </w:tc>
        <w:tc>
          <w:tcPr>
            <w:tcW w:w="583"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val="0"/>
                <w:sz w:val="21"/>
                <w:szCs w:val="21"/>
              </w:rPr>
            </w:pPr>
            <w:r>
              <w:rPr>
                <w:rFonts w:hint="eastAsia" w:ascii="宋体" w:hAnsi="宋体" w:eastAsia="宋体" w:cs="宋体"/>
                <w:b w:val="0"/>
                <w:sz w:val="21"/>
                <w:szCs w:val="21"/>
              </w:rPr>
              <w:t>1次</w:t>
            </w:r>
          </w:p>
        </w:tc>
      </w:tr>
      <w:tr>
        <w:tblPrEx>
          <w:tblCellMar>
            <w:top w:w="0" w:type="dxa"/>
            <w:left w:w="108" w:type="dxa"/>
            <w:bottom w:w="0" w:type="dxa"/>
            <w:right w:w="108" w:type="dxa"/>
          </w:tblCellMar>
        </w:tblPrEx>
        <w:trPr>
          <w:trHeight w:val="974" w:hRule="atLeast"/>
        </w:trPr>
        <w:tc>
          <w:tcPr>
            <w:tcW w:w="585" w:type="pc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b w:val="0"/>
                <w:sz w:val="21"/>
                <w:szCs w:val="21"/>
              </w:rPr>
            </w:pPr>
            <w:r>
              <w:rPr>
                <w:rFonts w:hint="eastAsia" w:ascii="宋体" w:hAnsi="宋体" w:eastAsia="宋体" w:cs="宋体"/>
                <w:b w:val="0"/>
                <w:sz w:val="21"/>
                <w:szCs w:val="21"/>
              </w:rPr>
              <w:t>2</w:t>
            </w:r>
          </w:p>
        </w:tc>
        <w:tc>
          <w:tcPr>
            <w:tcW w:w="1416"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b w:val="0"/>
                <w:sz w:val="21"/>
                <w:szCs w:val="21"/>
              </w:rPr>
            </w:pPr>
            <w:r>
              <w:rPr>
                <w:rFonts w:hint="eastAsia" w:ascii="宋体" w:hAnsi="宋体" w:eastAsia="宋体" w:cs="宋体"/>
                <w:b w:val="0"/>
                <w:sz w:val="21"/>
                <w:szCs w:val="21"/>
              </w:rPr>
              <w:t>HI</w:t>
            </w:r>
            <w:r>
              <w:rPr>
                <w:rFonts w:hint="eastAsia" w:ascii="宋体" w:hAnsi="宋体" w:eastAsia="宋体" w:cs="宋体"/>
                <w:b w:val="0"/>
                <w:sz w:val="21"/>
                <w:szCs w:val="21"/>
                <w:lang w:val="en-US" w:eastAsia="zh-CN"/>
              </w:rPr>
              <w:t>S历史</w:t>
            </w:r>
            <w:r>
              <w:rPr>
                <w:rFonts w:hint="eastAsia" w:ascii="宋体" w:hAnsi="宋体" w:eastAsia="宋体" w:cs="宋体"/>
                <w:b w:val="0"/>
                <w:sz w:val="21"/>
                <w:szCs w:val="21"/>
              </w:rPr>
              <w:t>数据转储</w:t>
            </w:r>
          </w:p>
        </w:tc>
        <w:tc>
          <w:tcPr>
            <w:tcW w:w="2416" w:type="pct"/>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b w:val="0"/>
                <w:sz w:val="21"/>
                <w:szCs w:val="21"/>
              </w:rPr>
            </w:pPr>
            <w:r>
              <w:rPr>
                <w:rFonts w:hint="eastAsia" w:ascii="宋体" w:hAnsi="宋体" w:eastAsia="宋体" w:cs="宋体"/>
                <w:b w:val="0"/>
                <w:sz w:val="21"/>
                <w:szCs w:val="21"/>
              </w:rPr>
              <w:t>详见详细技术参数</w:t>
            </w:r>
          </w:p>
        </w:tc>
        <w:tc>
          <w:tcPr>
            <w:tcW w:w="583"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val="0"/>
                <w:sz w:val="21"/>
                <w:szCs w:val="21"/>
              </w:rPr>
            </w:pPr>
            <w:r>
              <w:rPr>
                <w:rFonts w:hint="eastAsia" w:ascii="宋体" w:hAnsi="宋体" w:eastAsia="宋体" w:cs="宋体"/>
                <w:b w:val="0"/>
                <w:sz w:val="21"/>
                <w:szCs w:val="21"/>
              </w:rPr>
              <w:t>1次</w:t>
            </w:r>
          </w:p>
        </w:tc>
      </w:tr>
    </w:tbl>
    <w:p>
      <w:pPr>
        <w:pStyle w:val="17"/>
        <w:spacing w:line="360" w:lineRule="auto"/>
        <w:ind w:firstLine="480" w:firstLineChars="200"/>
        <w:rPr>
          <w:rFonts w:hAnsiTheme="minorEastAsia"/>
          <w:b w:val="0"/>
          <w:sz w:val="24"/>
          <w:szCs w:val="24"/>
        </w:rPr>
      </w:pPr>
      <w:r>
        <w:rPr>
          <w:rFonts w:hint="eastAsia" w:hAnsiTheme="minorEastAsia"/>
          <w:b w:val="0"/>
          <w:sz w:val="24"/>
          <w:szCs w:val="24"/>
        </w:rPr>
        <w:t>2、维保要求：</w:t>
      </w:r>
    </w:p>
    <w:p>
      <w:pPr>
        <w:pStyle w:val="17"/>
        <w:spacing w:line="360" w:lineRule="auto"/>
        <w:ind w:firstLine="480" w:firstLineChars="200"/>
        <w:rPr>
          <w:rFonts w:hAnsiTheme="minorEastAsia"/>
          <w:b w:val="0"/>
          <w:sz w:val="24"/>
          <w:szCs w:val="24"/>
        </w:rPr>
      </w:pPr>
      <w:r>
        <w:rPr>
          <w:rFonts w:hint="eastAsia" w:hAnsiTheme="minorEastAsia"/>
          <w:b w:val="0"/>
          <w:sz w:val="24"/>
          <w:szCs w:val="24"/>
        </w:rPr>
        <w:t>（1）培训服务：成交单位应提供采购人相关人员对</w:t>
      </w:r>
      <w:r>
        <w:rPr>
          <w:rFonts w:hint="eastAsia" w:hAnsiTheme="minorEastAsia"/>
          <w:b w:val="0"/>
          <w:sz w:val="24"/>
          <w:szCs w:val="24"/>
          <w:lang w:val="en-US" w:eastAsia="zh-CN"/>
        </w:rPr>
        <w:t>服务</w:t>
      </w:r>
      <w:r>
        <w:rPr>
          <w:rFonts w:hint="eastAsia" w:hAnsiTheme="minorEastAsia"/>
          <w:b w:val="0"/>
          <w:sz w:val="24"/>
          <w:szCs w:val="24"/>
        </w:rPr>
        <w:t>的维护和操作的</w:t>
      </w:r>
      <w:r>
        <w:rPr>
          <w:rFonts w:hint="eastAsia" w:hAnsiTheme="minorEastAsia"/>
          <w:b w:val="0"/>
          <w:sz w:val="24"/>
          <w:szCs w:val="24"/>
          <w:lang w:val="en-US" w:eastAsia="zh-CN"/>
        </w:rPr>
        <w:t>过程沟通和培训</w:t>
      </w:r>
      <w:r>
        <w:rPr>
          <w:rFonts w:hint="eastAsia" w:hAnsiTheme="minorEastAsia"/>
          <w:b w:val="0"/>
          <w:sz w:val="24"/>
          <w:szCs w:val="24"/>
        </w:rPr>
        <w:t>。</w:t>
      </w:r>
    </w:p>
    <w:p>
      <w:pPr>
        <w:pStyle w:val="17"/>
        <w:spacing w:line="360" w:lineRule="auto"/>
        <w:ind w:firstLine="480" w:firstLineChars="200"/>
        <w:rPr>
          <w:rFonts w:hAnsiTheme="minorEastAsia"/>
          <w:b w:val="0"/>
          <w:sz w:val="24"/>
          <w:szCs w:val="24"/>
        </w:rPr>
      </w:pPr>
      <w:r>
        <w:rPr>
          <w:rFonts w:hint="eastAsia" w:hAnsiTheme="minorEastAsia"/>
          <w:b w:val="0"/>
          <w:sz w:val="24"/>
          <w:szCs w:val="24"/>
        </w:rPr>
        <w:t>（2）免费质保期：采购服务内容为单次服务。</w:t>
      </w:r>
    </w:p>
    <w:p>
      <w:pPr>
        <w:pStyle w:val="17"/>
        <w:spacing w:line="360" w:lineRule="auto"/>
        <w:ind w:firstLine="480" w:firstLineChars="200"/>
        <w:rPr>
          <w:rFonts w:hAnsiTheme="minorEastAsia"/>
          <w:b w:val="0"/>
          <w:sz w:val="24"/>
          <w:szCs w:val="24"/>
        </w:rPr>
      </w:pPr>
      <w:r>
        <w:rPr>
          <w:rFonts w:hint="eastAsia" w:hAnsiTheme="minorEastAsia"/>
          <w:b w:val="0"/>
          <w:sz w:val="24"/>
          <w:szCs w:val="24"/>
        </w:rPr>
        <w:t>（3）服务目标：保障本项目维护范围内系统的正常运行。</w:t>
      </w:r>
    </w:p>
    <w:p>
      <w:pPr>
        <w:pStyle w:val="17"/>
        <w:spacing w:line="360" w:lineRule="auto"/>
        <w:ind w:firstLine="480" w:firstLineChars="200"/>
        <w:rPr>
          <w:rFonts w:hAnsiTheme="minorEastAsia"/>
          <w:b w:val="0"/>
          <w:kern w:val="0"/>
          <w:sz w:val="24"/>
          <w:szCs w:val="24"/>
        </w:rPr>
      </w:pPr>
      <w:r>
        <w:rPr>
          <w:rFonts w:hint="eastAsia" w:hAnsiTheme="minorEastAsia"/>
          <w:b w:val="0"/>
          <w:kern w:val="0"/>
          <w:sz w:val="24"/>
          <w:szCs w:val="24"/>
        </w:rPr>
        <w:t>3、验收标准：</w:t>
      </w:r>
    </w:p>
    <w:p>
      <w:pPr>
        <w:pStyle w:val="17"/>
        <w:spacing w:line="360" w:lineRule="auto"/>
        <w:ind w:firstLine="480" w:firstLineChars="200"/>
        <w:rPr>
          <w:rFonts w:hAnsiTheme="minorEastAsia"/>
          <w:b w:val="0"/>
          <w:sz w:val="24"/>
          <w:szCs w:val="24"/>
        </w:rPr>
      </w:pPr>
      <w:r>
        <w:rPr>
          <w:rFonts w:hint="eastAsia" w:hAnsiTheme="minorEastAsia"/>
          <w:b w:val="0"/>
          <w:sz w:val="24"/>
          <w:szCs w:val="24"/>
        </w:rPr>
        <w:t>根据采购文件要求及有关规定由采购人组织验收通过。对涉及本项目的所有服务内容必须满足采购文件全部要求，否则采购单位不予验收。</w:t>
      </w:r>
    </w:p>
    <w:p>
      <w:pPr>
        <w:pStyle w:val="17"/>
        <w:spacing w:line="360" w:lineRule="auto"/>
        <w:ind w:firstLine="480" w:firstLineChars="200"/>
        <w:rPr>
          <w:rFonts w:hAnsiTheme="minorEastAsia"/>
          <w:b w:val="0"/>
          <w:sz w:val="24"/>
          <w:szCs w:val="24"/>
        </w:rPr>
      </w:pPr>
      <w:r>
        <w:rPr>
          <w:rFonts w:hint="eastAsia" w:hAnsiTheme="minorEastAsia"/>
          <w:b w:val="0"/>
          <w:sz w:val="24"/>
          <w:szCs w:val="24"/>
        </w:rPr>
        <w:t>三、谈判供应商应当具备下列条件：</w:t>
      </w:r>
    </w:p>
    <w:p>
      <w:pPr>
        <w:pStyle w:val="17"/>
        <w:spacing w:line="360" w:lineRule="auto"/>
        <w:ind w:firstLine="480" w:firstLineChars="200"/>
        <w:rPr>
          <w:rFonts w:hAnsiTheme="minorEastAsia"/>
          <w:b w:val="0"/>
          <w:sz w:val="24"/>
          <w:szCs w:val="24"/>
        </w:rPr>
      </w:pPr>
      <w:r>
        <w:rPr>
          <w:rFonts w:hint="eastAsia" w:hAnsiTheme="minorEastAsia"/>
          <w:b w:val="0"/>
          <w:sz w:val="24"/>
          <w:szCs w:val="24"/>
        </w:rPr>
        <w:t>A、符合《中华人民共和国政府采购法》之第二十二条“供应商参加政府采购活动应当具备下列条件”：</w:t>
      </w:r>
    </w:p>
    <w:p>
      <w:pPr>
        <w:pStyle w:val="17"/>
        <w:spacing w:line="360" w:lineRule="auto"/>
        <w:ind w:firstLine="480" w:firstLineChars="200"/>
        <w:rPr>
          <w:rFonts w:hAnsiTheme="minorEastAsia"/>
          <w:b w:val="0"/>
          <w:sz w:val="24"/>
          <w:szCs w:val="24"/>
        </w:rPr>
      </w:pPr>
      <w:r>
        <w:rPr>
          <w:rFonts w:hint="eastAsia" w:hAnsiTheme="minorEastAsia"/>
          <w:b w:val="0"/>
          <w:sz w:val="24"/>
          <w:szCs w:val="24"/>
        </w:rPr>
        <w:t>A、应当具备下列一般条件：</w:t>
      </w:r>
    </w:p>
    <w:p>
      <w:pPr>
        <w:pStyle w:val="17"/>
        <w:spacing w:line="360" w:lineRule="auto"/>
        <w:ind w:firstLine="480" w:firstLineChars="200"/>
        <w:rPr>
          <w:rFonts w:cs="Times New Roman" w:hAnsiTheme="minorEastAsia"/>
          <w:b w:val="0"/>
          <w:kern w:val="2"/>
          <w:sz w:val="24"/>
          <w:szCs w:val="24"/>
        </w:rPr>
      </w:pPr>
      <w:r>
        <w:rPr>
          <w:rFonts w:hint="eastAsia" w:cs="Times New Roman" w:hAnsiTheme="minorEastAsia"/>
          <w:b w:val="0"/>
          <w:kern w:val="2"/>
          <w:sz w:val="24"/>
          <w:szCs w:val="24"/>
        </w:rPr>
        <w:t>1.</w:t>
      </w:r>
      <w:r>
        <w:rPr>
          <w:rFonts w:cs="Times New Roman" w:hAnsiTheme="minorEastAsia"/>
          <w:b w:val="0"/>
          <w:kern w:val="2"/>
          <w:sz w:val="24"/>
          <w:szCs w:val="24"/>
        </w:rPr>
        <w:t>具有独立承担民事责任的能力；</w:t>
      </w:r>
    </w:p>
    <w:p>
      <w:pPr>
        <w:pStyle w:val="17"/>
        <w:spacing w:line="360" w:lineRule="auto"/>
        <w:ind w:firstLine="480" w:firstLineChars="200"/>
        <w:rPr>
          <w:rFonts w:cs="Times New Roman" w:hAnsiTheme="minorEastAsia"/>
          <w:b w:val="0"/>
          <w:kern w:val="2"/>
          <w:sz w:val="24"/>
          <w:szCs w:val="24"/>
        </w:rPr>
      </w:pPr>
      <w:r>
        <w:rPr>
          <w:rFonts w:hint="eastAsia" w:cs="Times New Roman" w:hAnsiTheme="minorEastAsia"/>
          <w:b w:val="0"/>
          <w:kern w:val="2"/>
          <w:sz w:val="24"/>
          <w:szCs w:val="24"/>
        </w:rPr>
        <w:t>2.</w:t>
      </w:r>
      <w:r>
        <w:rPr>
          <w:rFonts w:cs="Times New Roman" w:hAnsiTheme="minorEastAsia"/>
          <w:b w:val="0"/>
          <w:kern w:val="2"/>
          <w:sz w:val="24"/>
          <w:szCs w:val="24"/>
        </w:rPr>
        <w:t>具有良好的商业信誉和健全的财务</w:t>
      </w:r>
      <w:r>
        <w:rPr>
          <w:rFonts w:hint="eastAsia" w:cs="Times New Roman" w:hAnsiTheme="minorEastAsia"/>
          <w:b w:val="0"/>
          <w:kern w:val="2"/>
          <w:sz w:val="24"/>
          <w:szCs w:val="24"/>
        </w:rPr>
        <w:t>会计制度</w:t>
      </w:r>
      <w:r>
        <w:rPr>
          <w:rFonts w:cs="Times New Roman" w:hAnsiTheme="minorEastAsia"/>
          <w:b w:val="0"/>
          <w:kern w:val="2"/>
          <w:sz w:val="24"/>
          <w:szCs w:val="24"/>
        </w:rPr>
        <w:t>；</w:t>
      </w:r>
    </w:p>
    <w:p>
      <w:pPr>
        <w:pStyle w:val="17"/>
        <w:spacing w:line="360" w:lineRule="auto"/>
        <w:ind w:firstLine="480" w:firstLineChars="200"/>
        <w:rPr>
          <w:rFonts w:cs="Times New Roman" w:hAnsiTheme="minorEastAsia"/>
          <w:b w:val="0"/>
          <w:kern w:val="2"/>
          <w:sz w:val="24"/>
          <w:szCs w:val="24"/>
        </w:rPr>
      </w:pPr>
      <w:r>
        <w:rPr>
          <w:rFonts w:hint="eastAsia" w:cs="Times New Roman" w:hAnsiTheme="minorEastAsia"/>
          <w:b w:val="0"/>
          <w:kern w:val="2"/>
          <w:sz w:val="24"/>
          <w:szCs w:val="24"/>
        </w:rPr>
        <w:t>3.</w:t>
      </w:r>
      <w:r>
        <w:rPr>
          <w:rFonts w:cs="Times New Roman" w:hAnsiTheme="minorEastAsia"/>
          <w:b w:val="0"/>
          <w:kern w:val="2"/>
          <w:sz w:val="24"/>
          <w:szCs w:val="24"/>
        </w:rPr>
        <w:t>具有履行合同所必需的设备和专业技术能力；</w:t>
      </w:r>
    </w:p>
    <w:p>
      <w:pPr>
        <w:pStyle w:val="17"/>
        <w:spacing w:line="360" w:lineRule="auto"/>
        <w:ind w:firstLine="480" w:firstLineChars="200"/>
        <w:rPr>
          <w:rFonts w:cs="Times New Roman" w:hAnsiTheme="minorEastAsia"/>
          <w:b w:val="0"/>
          <w:kern w:val="2"/>
          <w:sz w:val="24"/>
          <w:szCs w:val="24"/>
        </w:rPr>
      </w:pPr>
      <w:r>
        <w:rPr>
          <w:rFonts w:hint="eastAsia" w:cs="Times New Roman" w:hAnsiTheme="minorEastAsia"/>
          <w:b w:val="0"/>
          <w:kern w:val="2"/>
          <w:sz w:val="24"/>
          <w:szCs w:val="24"/>
        </w:rPr>
        <w:t>4.</w:t>
      </w:r>
      <w:r>
        <w:rPr>
          <w:rFonts w:cs="Times New Roman" w:hAnsiTheme="minorEastAsia"/>
          <w:b w:val="0"/>
          <w:kern w:val="2"/>
          <w:sz w:val="24"/>
          <w:szCs w:val="24"/>
        </w:rPr>
        <w:t>有依法缴纳税收和社会保障资金的良好记录；</w:t>
      </w:r>
    </w:p>
    <w:p>
      <w:pPr>
        <w:pStyle w:val="17"/>
        <w:spacing w:line="360" w:lineRule="auto"/>
        <w:ind w:firstLine="480" w:firstLineChars="200"/>
        <w:rPr>
          <w:rFonts w:cs="Times New Roman" w:hAnsiTheme="minorEastAsia"/>
          <w:b w:val="0"/>
          <w:kern w:val="2"/>
          <w:sz w:val="24"/>
          <w:szCs w:val="24"/>
        </w:rPr>
      </w:pPr>
      <w:r>
        <w:rPr>
          <w:rFonts w:hint="eastAsia" w:cs="Times New Roman" w:hAnsiTheme="minorEastAsia"/>
          <w:b w:val="0"/>
          <w:kern w:val="2"/>
          <w:sz w:val="24"/>
          <w:szCs w:val="24"/>
        </w:rPr>
        <w:t>5.</w:t>
      </w:r>
      <w:r>
        <w:rPr>
          <w:rFonts w:cs="Times New Roman" w:hAnsiTheme="minorEastAsia"/>
          <w:b w:val="0"/>
          <w:kern w:val="2"/>
          <w:sz w:val="24"/>
          <w:szCs w:val="24"/>
        </w:rPr>
        <w:t>参加政府采购活动前三年内，在经营活动中没有重大违法记录；</w:t>
      </w:r>
    </w:p>
    <w:p>
      <w:pPr>
        <w:pStyle w:val="17"/>
        <w:spacing w:line="360" w:lineRule="auto"/>
        <w:ind w:firstLine="480" w:firstLineChars="200"/>
        <w:rPr>
          <w:rFonts w:cs="Times New Roman" w:hAnsiTheme="minorEastAsia"/>
          <w:b w:val="0"/>
          <w:kern w:val="2"/>
          <w:sz w:val="24"/>
          <w:szCs w:val="24"/>
        </w:rPr>
      </w:pPr>
      <w:r>
        <w:rPr>
          <w:rFonts w:hint="eastAsia" w:cs="Times New Roman" w:hAnsiTheme="minorEastAsia"/>
          <w:b w:val="0"/>
          <w:kern w:val="2"/>
          <w:sz w:val="24"/>
          <w:szCs w:val="24"/>
        </w:rPr>
        <w:t>6.</w:t>
      </w:r>
      <w:r>
        <w:rPr>
          <w:rFonts w:cs="Times New Roman" w:hAnsiTheme="minorEastAsia"/>
          <w:b w:val="0"/>
          <w:kern w:val="2"/>
          <w:sz w:val="24"/>
          <w:szCs w:val="24"/>
        </w:rPr>
        <w:t>法律、行政法规规定的其他条件。</w:t>
      </w:r>
    </w:p>
    <w:p>
      <w:pPr>
        <w:pStyle w:val="17"/>
        <w:spacing w:line="360" w:lineRule="auto"/>
        <w:ind w:firstLine="480" w:firstLineChars="200"/>
        <w:rPr>
          <w:rFonts w:hAnsiTheme="minorEastAsia"/>
          <w:b w:val="0"/>
          <w:sz w:val="24"/>
          <w:szCs w:val="24"/>
        </w:rPr>
      </w:pPr>
      <w:r>
        <w:rPr>
          <w:rFonts w:hint="eastAsia" w:hAnsiTheme="minorEastAsia"/>
          <w:b w:val="0"/>
          <w:sz w:val="24"/>
          <w:szCs w:val="24"/>
        </w:rPr>
        <w:t>B、供应商应当具备下列特殊条件：</w:t>
      </w:r>
    </w:p>
    <w:p>
      <w:pPr>
        <w:pStyle w:val="17"/>
        <w:spacing w:line="360" w:lineRule="auto"/>
        <w:ind w:firstLine="480" w:firstLineChars="200"/>
        <w:rPr>
          <w:rFonts w:hAnsiTheme="minorEastAsia"/>
          <w:b w:val="0"/>
          <w:sz w:val="24"/>
          <w:szCs w:val="24"/>
        </w:rPr>
      </w:pPr>
      <w:r>
        <w:rPr>
          <w:rFonts w:hint="eastAsia" w:hAnsiTheme="minorEastAsia"/>
          <w:b w:val="0"/>
          <w:sz w:val="24"/>
          <w:szCs w:val="24"/>
        </w:rPr>
        <w:t>本次采购不接受联合体投标；</w:t>
      </w:r>
    </w:p>
    <w:p>
      <w:pPr>
        <w:pStyle w:val="17"/>
        <w:spacing w:line="360" w:lineRule="auto"/>
        <w:ind w:firstLine="480" w:firstLineChars="200"/>
        <w:rPr>
          <w:rFonts w:hAnsiTheme="minorEastAsia"/>
          <w:b w:val="0"/>
          <w:sz w:val="24"/>
          <w:szCs w:val="24"/>
        </w:rPr>
      </w:pPr>
      <w:r>
        <w:rPr>
          <w:rFonts w:hint="eastAsia" w:hAnsiTheme="minorEastAsia"/>
          <w:b w:val="0"/>
          <w:sz w:val="24"/>
          <w:szCs w:val="24"/>
        </w:rPr>
        <w:t>本次采购不接受进口产品。</w:t>
      </w:r>
    </w:p>
    <w:p>
      <w:pPr>
        <w:pStyle w:val="17"/>
        <w:spacing w:line="360" w:lineRule="auto"/>
        <w:ind w:firstLine="480" w:firstLineChars="200"/>
        <w:rPr>
          <w:rFonts w:hAnsiTheme="minorEastAsia"/>
          <w:b w:val="0"/>
          <w:sz w:val="24"/>
          <w:szCs w:val="24"/>
        </w:rPr>
      </w:pPr>
      <w:r>
        <w:rPr>
          <w:rFonts w:hint="eastAsia" w:hAnsiTheme="minorEastAsia"/>
          <w:b w:val="0"/>
          <w:sz w:val="24"/>
          <w:szCs w:val="24"/>
          <w:u w:val="single"/>
        </w:rPr>
        <w:t>注：</w:t>
      </w:r>
      <w:r>
        <w:rPr>
          <w:rFonts w:hAnsiTheme="minorEastAsia"/>
          <w:b w:val="0"/>
          <w:sz w:val="24"/>
          <w:szCs w:val="24"/>
          <w:u w:val="single"/>
        </w:rPr>
        <w:t>法定代表人</w:t>
      </w:r>
      <w:r>
        <w:rPr>
          <w:rFonts w:hint="eastAsia" w:hAnsiTheme="minorEastAsia"/>
          <w:b w:val="0"/>
          <w:sz w:val="24"/>
          <w:szCs w:val="24"/>
          <w:u w:val="single"/>
        </w:rPr>
        <w:t>/</w:t>
      </w:r>
      <w:r>
        <w:rPr>
          <w:rFonts w:hAnsiTheme="minorEastAsia"/>
          <w:b w:val="0"/>
          <w:sz w:val="24"/>
          <w:szCs w:val="24"/>
          <w:u w:val="single"/>
        </w:rPr>
        <w:t>负责人为同一人或者存在控股、管理关系的不同单位，不得参加同一标段投标或者未划分标段的同一招标项目投标；</w:t>
      </w:r>
    </w:p>
    <w:p>
      <w:pPr>
        <w:adjustRightInd w:val="0"/>
        <w:snapToGrid w:val="0"/>
        <w:spacing w:line="360" w:lineRule="auto"/>
        <w:rPr>
          <w:rFonts w:ascii="宋体" w:hAnsi="宋体" w:eastAsia="宋体" w:cs="宋体"/>
          <w:b w:val="0"/>
          <w:sz w:val="24"/>
          <w:szCs w:val="24"/>
        </w:rPr>
      </w:pPr>
    </w:p>
    <w:p>
      <w:pPr>
        <w:adjustRightInd w:val="0"/>
        <w:snapToGrid w:val="0"/>
        <w:spacing w:line="360" w:lineRule="auto"/>
        <w:rPr>
          <w:rFonts w:ascii="宋体" w:hAnsi="宋体" w:eastAsia="宋体" w:cs="宋体"/>
          <w:b w:val="0"/>
          <w:sz w:val="24"/>
          <w:szCs w:val="24"/>
        </w:rPr>
      </w:pPr>
    </w:p>
    <w:p>
      <w:pPr>
        <w:adjustRightInd w:val="0"/>
        <w:snapToGrid w:val="0"/>
        <w:spacing w:line="360" w:lineRule="auto"/>
        <w:rPr>
          <w:rFonts w:ascii="宋体" w:hAnsi="宋体" w:eastAsia="宋体" w:cs="宋体"/>
          <w:b w:val="0"/>
          <w:sz w:val="24"/>
          <w:szCs w:val="24"/>
        </w:rPr>
      </w:pPr>
    </w:p>
    <w:p>
      <w:pPr>
        <w:widowControl/>
        <w:jc w:val="left"/>
        <w:rPr>
          <w:rFonts w:ascii="宋体" w:hAnsi="宋体" w:eastAsia="宋体" w:cs="宋体"/>
          <w:b w:val="0"/>
        </w:rPr>
      </w:pPr>
      <w:r>
        <w:rPr>
          <w:rFonts w:ascii="宋体" w:hAnsi="宋体" w:eastAsia="宋体" w:cs="宋体"/>
          <w:b w:val="0"/>
        </w:rPr>
        <w:br w:type="page"/>
      </w:r>
    </w:p>
    <w:p>
      <w:pPr>
        <w:pStyle w:val="2"/>
        <w:numPr>
          <w:ilvl w:val="0"/>
          <w:numId w:val="1"/>
        </w:numPr>
        <w:spacing w:line="240" w:lineRule="auto"/>
      </w:pPr>
      <w:r>
        <w:rPr>
          <w:rFonts w:hint="eastAsia"/>
        </w:rPr>
        <w:t>详细技术参数</w:t>
      </w:r>
    </w:p>
    <w:tbl>
      <w:tblPr>
        <w:tblStyle w:val="8"/>
        <w:tblW w:w="0" w:type="auto"/>
        <w:tblInd w:w="93" w:type="dxa"/>
        <w:tblLayout w:type="autofit"/>
        <w:tblCellMar>
          <w:top w:w="0" w:type="dxa"/>
          <w:left w:w="108" w:type="dxa"/>
          <w:bottom w:w="0" w:type="dxa"/>
          <w:right w:w="108" w:type="dxa"/>
        </w:tblCellMar>
      </w:tblPr>
      <w:tblGrid>
        <w:gridCol w:w="1921"/>
        <w:gridCol w:w="6508"/>
      </w:tblGrid>
      <w:tr>
        <w:tblPrEx>
          <w:tblCellMar>
            <w:top w:w="0" w:type="dxa"/>
            <w:left w:w="108" w:type="dxa"/>
            <w:bottom w:w="0" w:type="dxa"/>
            <w:right w:w="108" w:type="dxa"/>
          </w:tblCellMar>
        </w:tblPrEx>
        <w:trPr>
          <w:trHeight w:val="270" w:hRule="atLeast"/>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b w:val="0"/>
                <w:color w:val="000000"/>
                <w:kern w:val="0"/>
                <w:sz w:val="22"/>
                <w:szCs w:val="22"/>
              </w:rPr>
            </w:pPr>
            <w:r>
              <w:rPr>
                <w:rFonts w:hint="eastAsia" w:ascii="宋体" w:hAnsi="宋体" w:eastAsia="宋体" w:cs="宋体"/>
                <w:b w:val="0"/>
                <w:color w:val="000000"/>
                <w:kern w:val="0"/>
                <w:sz w:val="22"/>
                <w:szCs w:val="22"/>
              </w:rPr>
              <w:t>产品名称</w:t>
            </w:r>
          </w:p>
        </w:tc>
        <w:tc>
          <w:tcPr>
            <w:tcW w:w="0" w:type="auto"/>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val="0"/>
                <w:color w:val="000000"/>
                <w:kern w:val="0"/>
                <w:sz w:val="22"/>
                <w:szCs w:val="22"/>
              </w:rPr>
            </w:pPr>
            <w:r>
              <w:rPr>
                <w:rFonts w:hint="eastAsia" w:ascii="宋体" w:hAnsi="宋体" w:eastAsia="宋体" w:cs="宋体"/>
                <w:b w:val="0"/>
                <w:color w:val="000000"/>
                <w:kern w:val="0"/>
                <w:sz w:val="22"/>
                <w:szCs w:val="22"/>
              </w:rPr>
              <w:t>详细技术参数</w:t>
            </w:r>
          </w:p>
        </w:tc>
      </w:tr>
      <w:tr>
        <w:tblPrEx>
          <w:tblCellMar>
            <w:top w:w="0" w:type="dxa"/>
            <w:left w:w="108" w:type="dxa"/>
            <w:bottom w:w="0" w:type="dxa"/>
            <w:right w:w="108" w:type="dxa"/>
          </w:tblCellMar>
        </w:tblPrEx>
        <w:trPr>
          <w:trHeight w:val="270" w:hRule="atLeast"/>
        </w:trPr>
        <w:tc>
          <w:tcPr>
            <w:tcW w:w="0" w:type="auto"/>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b w:val="0"/>
                <w:color w:val="000000"/>
                <w:kern w:val="0"/>
                <w:sz w:val="22"/>
                <w:szCs w:val="22"/>
              </w:rPr>
            </w:pPr>
            <w:r>
              <w:rPr>
                <w:rFonts w:hint="eastAsia" w:ascii="宋体" w:hAnsi="宋体" w:eastAsia="宋体" w:cs="宋体"/>
                <w:b w:val="0"/>
                <w:color w:val="000000"/>
                <w:kern w:val="0"/>
                <w:sz w:val="22"/>
                <w:szCs w:val="22"/>
              </w:rPr>
              <w:t>HIS数据库升级</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b w:val="0"/>
                <w:color w:val="000000"/>
                <w:kern w:val="0"/>
                <w:sz w:val="22"/>
                <w:szCs w:val="22"/>
              </w:rPr>
            </w:pPr>
            <w:r>
              <w:rPr>
                <w:rFonts w:hint="eastAsia" w:ascii="宋体" w:hAnsi="宋体" w:eastAsia="宋体" w:cs="宋体"/>
                <w:b w:val="0"/>
                <w:color w:val="000000"/>
                <w:kern w:val="0"/>
                <w:sz w:val="22"/>
                <w:szCs w:val="22"/>
              </w:rPr>
              <w:t>HIS数据库升级为单次服务；</w:t>
            </w:r>
          </w:p>
        </w:tc>
      </w:tr>
      <w:tr>
        <w:tblPrEx>
          <w:tblCellMar>
            <w:top w:w="0" w:type="dxa"/>
            <w:left w:w="108" w:type="dxa"/>
            <w:bottom w:w="0" w:type="dxa"/>
            <w:right w:w="108" w:type="dxa"/>
          </w:tblCellMar>
        </w:tblPrEx>
        <w:trPr>
          <w:trHeight w:val="810"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b w:val="0"/>
                <w:color w:val="000000"/>
                <w:kern w:val="0"/>
                <w:sz w:val="22"/>
                <w:szCs w:val="22"/>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b w:val="0"/>
                <w:color w:val="000000"/>
                <w:kern w:val="0"/>
                <w:sz w:val="22"/>
                <w:szCs w:val="22"/>
              </w:rPr>
            </w:pPr>
            <w:r>
              <w:rPr>
                <w:rFonts w:hint="eastAsia" w:ascii="宋体" w:hAnsi="宋体" w:eastAsia="宋体" w:cs="宋体"/>
                <w:b w:val="0"/>
                <w:color w:val="000000"/>
                <w:kern w:val="0"/>
                <w:sz w:val="22"/>
                <w:szCs w:val="22"/>
              </w:rPr>
              <w:t>HIS当前数据库版本为MS SQL SERVER2008，将数据库版本升级至MS SQL SERVER2014，保证数据表、视图、存储过程、触发器、业务的SQL语句的全面兼容HIS应用程序及接口程序；如涉及到的应用程序修改，费用由中标方承担。</w:t>
            </w:r>
          </w:p>
        </w:tc>
      </w:tr>
      <w:tr>
        <w:tblPrEx>
          <w:tblCellMar>
            <w:top w:w="0" w:type="dxa"/>
            <w:left w:w="108" w:type="dxa"/>
            <w:bottom w:w="0" w:type="dxa"/>
            <w:right w:w="108" w:type="dxa"/>
          </w:tblCellMar>
        </w:tblPrEx>
        <w:trPr>
          <w:trHeight w:val="540"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b w:val="0"/>
                <w:color w:val="000000"/>
                <w:kern w:val="0"/>
                <w:sz w:val="22"/>
                <w:szCs w:val="22"/>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b w:val="0"/>
                <w:color w:val="000000"/>
                <w:kern w:val="0"/>
                <w:sz w:val="22"/>
                <w:szCs w:val="22"/>
              </w:rPr>
            </w:pPr>
            <w:r>
              <w:rPr>
                <w:rFonts w:hint="eastAsia" w:ascii="宋体" w:hAnsi="宋体" w:eastAsia="宋体" w:cs="宋体"/>
                <w:b w:val="0"/>
                <w:color w:val="000000"/>
                <w:kern w:val="0"/>
                <w:sz w:val="22"/>
                <w:szCs w:val="22"/>
              </w:rPr>
              <w:t>实现新老服务器系统之间的数据库迁移和升级工作，在保证数据完整性的同时，要求能够在</w:t>
            </w:r>
            <w:r>
              <w:rPr>
                <w:rFonts w:hint="eastAsia" w:ascii="宋体" w:hAnsi="宋体" w:eastAsia="宋体" w:cs="宋体"/>
                <w:b w:val="0"/>
                <w:color w:val="000000"/>
                <w:kern w:val="0"/>
                <w:sz w:val="22"/>
                <w:szCs w:val="22"/>
                <w:lang w:val="en-US" w:eastAsia="zh-CN"/>
              </w:rPr>
              <w:t>1</w:t>
            </w:r>
            <w:r>
              <w:rPr>
                <w:rFonts w:hint="eastAsia" w:ascii="宋体" w:hAnsi="宋体" w:eastAsia="宋体" w:cs="宋体"/>
                <w:b w:val="0"/>
                <w:color w:val="000000"/>
                <w:kern w:val="0"/>
                <w:sz w:val="22"/>
                <w:szCs w:val="22"/>
              </w:rPr>
              <w:t>5分钟以内实现数据库和业务系统的完全迁移；</w:t>
            </w:r>
          </w:p>
        </w:tc>
      </w:tr>
      <w:tr>
        <w:tblPrEx>
          <w:tblCellMar>
            <w:top w:w="0" w:type="dxa"/>
            <w:left w:w="108" w:type="dxa"/>
            <w:bottom w:w="0" w:type="dxa"/>
            <w:right w:w="108" w:type="dxa"/>
          </w:tblCellMar>
        </w:tblPrEx>
        <w:trPr>
          <w:trHeight w:val="540"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b w:val="0"/>
                <w:color w:val="000000"/>
                <w:kern w:val="0"/>
                <w:sz w:val="22"/>
                <w:szCs w:val="22"/>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b w:val="0"/>
                <w:color w:val="000000"/>
                <w:kern w:val="0"/>
                <w:sz w:val="22"/>
                <w:szCs w:val="22"/>
              </w:rPr>
            </w:pPr>
            <w:r>
              <w:rPr>
                <w:rFonts w:hint="eastAsia" w:ascii="宋体" w:hAnsi="宋体" w:eastAsia="宋体" w:cs="宋体"/>
                <w:b w:val="0"/>
                <w:color w:val="000000"/>
                <w:kern w:val="0"/>
                <w:sz w:val="22"/>
                <w:szCs w:val="22"/>
              </w:rPr>
              <w:t>在数据切换和迁移过程中，要求提供业务的门诊应急系统，实现回溯机制，确保切换万无一失；门诊应急系统中产生的数据须一键导回至生产系统。</w:t>
            </w:r>
          </w:p>
        </w:tc>
      </w:tr>
      <w:tr>
        <w:tblPrEx>
          <w:tblCellMar>
            <w:top w:w="0" w:type="dxa"/>
            <w:left w:w="108" w:type="dxa"/>
            <w:bottom w:w="0" w:type="dxa"/>
            <w:right w:w="108" w:type="dxa"/>
          </w:tblCellMar>
        </w:tblPrEx>
        <w:trPr>
          <w:trHeight w:val="540"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b w:val="0"/>
                <w:color w:val="000000"/>
                <w:kern w:val="0"/>
                <w:sz w:val="22"/>
                <w:szCs w:val="22"/>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b w:val="0"/>
                <w:color w:val="000000"/>
                <w:kern w:val="0"/>
                <w:sz w:val="22"/>
                <w:szCs w:val="22"/>
              </w:rPr>
            </w:pPr>
            <w:r>
              <w:rPr>
                <w:rFonts w:hint="eastAsia" w:ascii="宋体" w:hAnsi="宋体" w:eastAsia="宋体" w:cs="宋体"/>
                <w:b w:val="0"/>
                <w:color w:val="000000"/>
                <w:kern w:val="0"/>
                <w:sz w:val="22"/>
                <w:szCs w:val="22"/>
              </w:rPr>
              <w:t>数据迁移和升级后，须与应用软件进行联合测试和调试，确保迁移和升级结果符合业务运行要求；</w:t>
            </w:r>
          </w:p>
        </w:tc>
      </w:tr>
      <w:tr>
        <w:tblPrEx>
          <w:tblCellMar>
            <w:top w:w="0" w:type="dxa"/>
            <w:left w:w="108" w:type="dxa"/>
            <w:bottom w:w="0" w:type="dxa"/>
            <w:right w:w="108" w:type="dxa"/>
          </w:tblCellMar>
        </w:tblPrEx>
        <w:trPr>
          <w:trHeight w:val="810"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b w:val="0"/>
                <w:color w:val="000000"/>
                <w:kern w:val="0"/>
                <w:sz w:val="22"/>
                <w:szCs w:val="22"/>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b w:val="0"/>
                <w:color w:val="000000"/>
                <w:kern w:val="0"/>
                <w:sz w:val="22"/>
                <w:szCs w:val="22"/>
              </w:rPr>
            </w:pPr>
            <w:r>
              <w:rPr>
                <w:rFonts w:hint="eastAsia" w:ascii="宋体" w:hAnsi="宋体" w:eastAsia="宋体" w:cs="宋体"/>
                <w:b w:val="0"/>
                <w:color w:val="000000"/>
                <w:kern w:val="0"/>
                <w:sz w:val="22"/>
                <w:szCs w:val="22"/>
              </w:rPr>
              <w:t>从业务系统和数据库的角度，实现数据库的结构优化：表结构和相应程序的优化；监控低效SQL语句，修改应用业务模块的SQL语句，实现持续的SQL语句优化工作；并结合业务优化数据库参数，让系统更加适合业务的运行；</w:t>
            </w:r>
          </w:p>
        </w:tc>
      </w:tr>
      <w:tr>
        <w:tblPrEx>
          <w:tblCellMar>
            <w:top w:w="0" w:type="dxa"/>
            <w:left w:w="108" w:type="dxa"/>
            <w:bottom w:w="0" w:type="dxa"/>
            <w:right w:w="108" w:type="dxa"/>
          </w:tblCellMar>
        </w:tblPrEx>
        <w:trPr>
          <w:trHeight w:val="270" w:hRule="atLeast"/>
        </w:trPr>
        <w:tc>
          <w:tcPr>
            <w:tcW w:w="0" w:type="auto"/>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b w:val="0"/>
                <w:color w:val="000000"/>
                <w:kern w:val="0"/>
                <w:sz w:val="22"/>
                <w:szCs w:val="22"/>
              </w:rPr>
            </w:pPr>
            <w:r>
              <w:rPr>
                <w:rFonts w:hint="eastAsia" w:ascii="宋体" w:hAnsi="宋体" w:eastAsia="宋体" w:cs="宋体"/>
                <w:b w:val="0"/>
                <w:color w:val="000000"/>
                <w:kern w:val="0"/>
                <w:sz w:val="22"/>
                <w:szCs w:val="22"/>
              </w:rPr>
              <w:t>HIS</w:t>
            </w:r>
            <w:r>
              <w:rPr>
                <w:rFonts w:hint="eastAsia" w:ascii="宋体" w:hAnsi="宋体" w:eastAsia="宋体" w:cs="宋体"/>
                <w:b w:val="0"/>
                <w:color w:val="000000"/>
                <w:kern w:val="0"/>
                <w:sz w:val="22"/>
                <w:szCs w:val="22"/>
                <w:lang w:val="en-US" w:eastAsia="zh-CN"/>
              </w:rPr>
              <w:t>历史</w:t>
            </w:r>
            <w:r>
              <w:rPr>
                <w:rFonts w:hint="eastAsia" w:ascii="宋体" w:hAnsi="宋体" w:eastAsia="宋体" w:cs="宋体"/>
                <w:b w:val="0"/>
                <w:color w:val="000000"/>
                <w:kern w:val="0"/>
                <w:sz w:val="22"/>
                <w:szCs w:val="22"/>
              </w:rPr>
              <w:t>数据转储</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b w:val="0"/>
                <w:color w:val="000000"/>
                <w:kern w:val="0"/>
                <w:sz w:val="22"/>
                <w:szCs w:val="22"/>
              </w:rPr>
            </w:pPr>
            <w:r>
              <w:rPr>
                <w:rFonts w:hint="eastAsia" w:ascii="宋体" w:hAnsi="宋体" w:eastAsia="宋体" w:cs="宋体"/>
                <w:b w:val="0"/>
                <w:color w:val="000000"/>
                <w:kern w:val="0"/>
                <w:sz w:val="22"/>
                <w:szCs w:val="22"/>
              </w:rPr>
              <w:t>HIS数据转储服务方式为单次服务；</w:t>
            </w:r>
          </w:p>
        </w:tc>
      </w:tr>
      <w:tr>
        <w:tblPrEx>
          <w:tblCellMar>
            <w:top w:w="0" w:type="dxa"/>
            <w:left w:w="108" w:type="dxa"/>
            <w:bottom w:w="0" w:type="dxa"/>
            <w:right w:w="108" w:type="dxa"/>
          </w:tblCellMar>
        </w:tblPrEx>
        <w:trPr>
          <w:trHeight w:val="270"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b w:val="0"/>
                <w:color w:val="000000"/>
                <w:kern w:val="0"/>
                <w:sz w:val="22"/>
                <w:szCs w:val="22"/>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b w:val="0"/>
                <w:color w:val="000000"/>
                <w:kern w:val="0"/>
                <w:sz w:val="22"/>
                <w:szCs w:val="22"/>
              </w:rPr>
            </w:pPr>
            <w:r>
              <w:rPr>
                <w:rFonts w:hint="eastAsia" w:ascii="宋体" w:hAnsi="宋体" w:eastAsia="宋体" w:cs="宋体"/>
                <w:b w:val="0"/>
                <w:color w:val="000000"/>
                <w:kern w:val="0"/>
                <w:sz w:val="22"/>
                <w:szCs w:val="22"/>
              </w:rPr>
              <w:t>负责建立HIS数据库的历史数据库，历史数据库与生产数据库结构保持一致；</w:t>
            </w:r>
          </w:p>
        </w:tc>
      </w:tr>
      <w:tr>
        <w:tblPrEx>
          <w:tblCellMar>
            <w:top w:w="0" w:type="dxa"/>
            <w:left w:w="108" w:type="dxa"/>
            <w:bottom w:w="0" w:type="dxa"/>
            <w:right w:w="108" w:type="dxa"/>
          </w:tblCellMar>
        </w:tblPrEx>
        <w:trPr>
          <w:trHeight w:val="270"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b w:val="0"/>
                <w:color w:val="000000"/>
                <w:kern w:val="0"/>
                <w:sz w:val="22"/>
                <w:szCs w:val="22"/>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b w:val="0"/>
                <w:color w:val="000000"/>
                <w:kern w:val="0"/>
                <w:sz w:val="22"/>
                <w:szCs w:val="22"/>
              </w:rPr>
            </w:pPr>
            <w:r>
              <w:rPr>
                <w:rFonts w:hint="eastAsia" w:ascii="宋体" w:hAnsi="宋体" w:eastAsia="宋体" w:cs="宋体"/>
                <w:b w:val="0"/>
                <w:color w:val="000000"/>
                <w:kern w:val="0"/>
                <w:sz w:val="22"/>
                <w:szCs w:val="22"/>
              </w:rPr>
              <w:t>按照HIS各个业务模块，制定数据转储计划，编写数据转储方案；</w:t>
            </w:r>
          </w:p>
        </w:tc>
      </w:tr>
      <w:tr>
        <w:tblPrEx>
          <w:tblCellMar>
            <w:top w:w="0" w:type="dxa"/>
            <w:left w:w="108" w:type="dxa"/>
            <w:bottom w:w="0" w:type="dxa"/>
            <w:right w:w="108" w:type="dxa"/>
          </w:tblCellMar>
        </w:tblPrEx>
        <w:trPr>
          <w:trHeight w:val="540"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b w:val="0"/>
                <w:color w:val="000000"/>
                <w:kern w:val="0"/>
                <w:sz w:val="22"/>
                <w:szCs w:val="22"/>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b w:val="0"/>
                <w:color w:val="000000"/>
                <w:kern w:val="0"/>
                <w:sz w:val="22"/>
                <w:szCs w:val="22"/>
              </w:rPr>
            </w:pPr>
            <w:r>
              <w:rPr>
                <w:rFonts w:hint="eastAsia" w:ascii="宋体" w:hAnsi="宋体" w:eastAsia="宋体" w:cs="宋体"/>
                <w:b w:val="0"/>
                <w:color w:val="000000"/>
                <w:kern w:val="0"/>
                <w:sz w:val="22"/>
                <w:szCs w:val="22"/>
              </w:rPr>
              <w:t>按照时间点，对HIS数据业务进行历史转储，将历史数据从生产数据库迁移到历史数据库；</w:t>
            </w:r>
          </w:p>
        </w:tc>
      </w:tr>
      <w:tr>
        <w:tblPrEx>
          <w:tblCellMar>
            <w:top w:w="0" w:type="dxa"/>
            <w:left w:w="108" w:type="dxa"/>
            <w:bottom w:w="0" w:type="dxa"/>
            <w:right w:w="108" w:type="dxa"/>
          </w:tblCellMar>
        </w:tblPrEx>
        <w:trPr>
          <w:trHeight w:val="270"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b w:val="0"/>
                <w:color w:val="000000"/>
                <w:kern w:val="0"/>
                <w:sz w:val="22"/>
                <w:szCs w:val="22"/>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b w:val="0"/>
                <w:color w:val="000000"/>
                <w:kern w:val="0"/>
                <w:sz w:val="22"/>
                <w:szCs w:val="22"/>
              </w:rPr>
            </w:pPr>
            <w:r>
              <w:rPr>
                <w:rFonts w:hint="eastAsia" w:ascii="宋体" w:hAnsi="宋体" w:eastAsia="宋体" w:cs="宋体"/>
                <w:b w:val="0"/>
                <w:color w:val="000000"/>
                <w:kern w:val="0"/>
                <w:sz w:val="22"/>
                <w:szCs w:val="22"/>
              </w:rPr>
              <w:t>数据转储完成以后，负责对业务系统的索引重建，有效地缩小生产系统的数据库容量；</w:t>
            </w:r>
          </w:p>
        </w:tc>
      </w:tr>
      <w:tr>
        <w:tblPrEx>
          <w:tblCellMar>
            <w:top w:w="0" w:type="dxa"/>
            <w:left w:w="108" w:type="dxa"/>
            <w:bottom w:w="0" w:type="dxa"/>
            <w:right w:w="108" w:type="dxa"/>
          </w:tblCellMar>
        </w:tblPrEx>
        <w:trPr>
          <w:trHeight w:val="270"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b w:val="0"/>
                <w:color w:val="000000"/>
                <w:kern w:val="0"/>
                <w:sz w:val="22"/>
                <w:szCs w:val="22"/>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b w:val="0"/>
                <w:color w:val="000000"/>
                <w:kern w:val="0"/>
                <w:sz w:val="22"/>
                <w:szCs w:val="22"/>
              </w:rPr>
            </w:pPr>
            <w:r>
              <w:rPr>
                <w:rFonts w:hint="eastAsia" w:ascii="宋体" w:hAnsi="宋体" w:eastAsia="宋体" w:cs="宋体"/>
                <w:b w:val="0"/>
                <w:color w:val="000000"/>
                <w:kern w:val="0"/>
                <w:sz w:val="22"/>
                <w:szCs w:val="22"/>
              </w:rPr>
              <w:t>历史数据转储完成后，须同时保证业务数据库和历史数据库的各类报表完整性；</w:t>
            </w:r>
          </w:p>
        </w:tc>
      </w:tr>
      <w:tr>
        <w:tblPrEx>
          <w:tblCellMar>
            <w:top w:w="0" w:type="dxa"/>
            <w:left w:w="108" w:type="dxa"/>
            <w:bottom w:w="0" w:type="dxa"/>
            <w:right w:w="108" w:type="dxa"/>
          </w:tblCellMar>
        </w:tblPrEx>
        <w:trPr>
          <w:trHeight w:val="270"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b w:val="0"/>
                <w:color w:val="000000"/>
                <w:kern w:val="0"/>
                <w:sz w:val="22"/>
                <w:szCs w:val="22"/>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b w:val="0"/>
                <w:color w:val="000000"/>
                <w:kern w:val="0"/>
                <w:sz w:val="22"/>
                <w:szCs w:val="22"/>
              </w:rPr>
            </w:pPr>
            <w:r>
              <w:rPr>
                <w:rFonts w:hint="eastAsia" w:ascii="宋体" w:hAnsi="宋体" w:eastAsia="宋体" w:cs="宋体"/>
                <w:b w:val="0"/>
                <w:color w:val="000000"/>
                <w:kern w:val="0"/>
                <w:sz w:val="22"/>
                <w:szCs w:val="22"/>
              </w:rPr>
              <w:t>在历史数据转储时，不能影响生产系统正常业务运行；</w:t>
            </w:r>
          </w:p>
        </w:tc>
      </w:tr>
      <w:tr>
        <w:tblPrEx>
          <w:tblCellMar>
            <w:top w:w="0" w:type="dxa"/>
            <w:left w:w="108" w:type="dxa"/>
            <w:bottom w:w="0" w:type="dxa"/>
            <w:right w:w="108" w:type="dxa"/>
          </w:tblCellMar>
        </w:tblPrEx>
        <w:trPr>
          <w:trHeight w:val="540"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b w:val="0"/>
                <w:color w:val="000000"/>
                <w:kern w:val="0"/>
                <w:sz w:val="22"/>
                <w:szCs w:val="22"/>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b w:val="0"/>
                <w:color w:val="000000"/>
                <w:kern w:val="0"/>
                <w:sz w:val="22"/>
                <w:szCs w:val="22"/>
              </w:rPr>
            </w:pPr>
            <w:r>
              <w:rPr>
                <w:rFonts w:hint="eastAsia" w:ascii="宋体" w:hAnsi="宋体" w:eastAsia="宋体" w:cs="宋体"/>
                <w:b w:val="0"/>
                <w:color w:val="000000"/>
                <w:kern w:val="0"/>
                <w:sz w:val="22"/>
                <w:szCs w:val="22"/>
              </w:rPr>
              <w:t>历史数据转储业务必须持有延续性，即下次的数据迁移能够在当前的基础继续实现历史数据的迁移和历史数据叠加</w:t>
            </w:r>
          </w:p>
        </w:tc>
      </w:tr>
    </w:tbl>
    <w:p>
      <w:pPr>
        <w:widowControl/>
        <w:jc w:val="left"/>
        <w:rPr>
          <w:rFonts w:cs="Times New Roman" w:hAnsiTheme="minorEastAsia"/>
          <w:b w:val="0"/>
          <w:kern w:val="2"/>
          <w:sz w:val="24"/>
          <w:szCs w:val="24"/>
        </w:rPr>
      </w:pPr>
      <w:r>
        <w:rPr>
          <w:rFonts w:cs="Times New Roman" w:hAnsiTheme="minorEastAsia"/>
          <w:b w:val="0"/>
          <w:kern w:val="2"/>
          <w:sz w:val="24"/>
          <w:szCs w:val="24"/>
        </w:rPr>
        <w:br w:type="page"/>
      </w:r>
    </w:p>
    <w:p>
      <w:pPr>
        <w:pStyle w:val="2"/>
        <w:numPr>
          <w:ilvl w:val="0"/>
          <w:numId w:val="1"/>
        </w:numPr>
        <w:spacing w:line="240" w:lineRule="auto"/>
      </w:pPr>
      <w:r>
        <w:rPr>
          <w:rFonts w:hint="eastAsia"/>
        </w:rPr>
        <w:t>谈判响应文件的组成及要求：</w:t>
      </w:r>
    </w:p>
    <w:p>
      <w:pPr>
        <w:pStyle w:val="17"/>
        <w:spacing w:line="360" w:lineRule="auto"/>
        <w:ind w:firstLine="480" w:firstLineChars="200"/>
        <w:rPr>
          <w:rFonts w:hAnsiTheme="minorEastAsia"/>
          <w:b w:val="0"/>
          <w:sz w:val="24"/>
          <w:szCs w:val="24"/>
        </w:rPr>
      </w:pPr>
      <w:r>
        <w:rPr>
          <w:rFonts w:hint="eastAsia" w:hAnsiTheme="minorEastAsia"/>
          <w:b w:val="0"/>
          <w:sz w:val="24"/>
          <w:szCs w:val="24"/>
        </w:rPr>
        <w:t>（一）文件组成：</w:t>
      </w:r>
    </w:p>
    <w:p>
      <w:pPr>
        <w:pStyle w:val="17"/>
        <w:spacing w:line="360" w:lineRule="auto"/>
        <w:ind w:firstLine="480" w:firstLineChars="200"/>
        <w:rPr>
          <w:rFonts w:hAnsiTheme="minorEastAsia"/>
          <w:b w:val="0"/>
          <w:sz w:val="24"/>
          <w:szCs w:val="24"/>
        </w:rPr>
      </w:pPr>
      <w:r>
        <w:rPr>
          <w:rFonts w:hint="eastAsia" w:hAnsiTheme="minorEastAsia"/>
          <w:b w:val="0"/>
          <w:sz w:val="24"/>
          <w:szCs w:val="24"/>
        </w:rPr>
        <w:t>1.谈判响应函；</w:t>
      </w:r>
    </w:p>
    <w:p>
      <w:pPr>
        <w:pStyle w:val="17"/>
        <w:spacing w:line="360" w:lineRule="auto"/>
        <w:ind w:firstLine="480" w:firstLineChars="200"/>
        <w:rPr>
          <w:rFonts w:hAnsiTheme="minorEastAsia"/>
          <w:b w:val="0"/>
          <w:sz w:val="24"/>
          <w:szCs w:val="24"/>
        </w:rPr>
      </w:pPr>
      <w:r>
        <w:rPr>
          <w:rFonts w:hint="eastAsia" w:hAnsiTheme="minorEastAsia"/>
          <w:b w:val="0"/>
          <w:sz w:val="24"/>
          <w:szCs w:val="24"/>
        </w:rPr>
        <w:t>2.谈判报价表；</w:t>
      </w:r>
    </w:p>
    <w:p>
      <w:pPr>
        <w:pStyle w:val="17"/>
        <w:spacing w:line="360" w:lineRule="auto"/>
        <w:ind w:firstLine="480" w:firstLineChars="200"/>
        <w:rPr>
          <w:rFonts w:hAnsiTheme="minorEastAsia"/>
          <w:b w:val="0"/>
          <w:sz w:val="24"/>
          <w:szCs w:val="24"/>
        </w:rPr>
      </w:pPr>
      <w:r>
        <w:rPr>
          <w:rFonts w:hint="eastAsia" w:hAnsiTheme="minorEastAsia"/>
          <w:b w:val="0"/>
          <w:sz w:val="24"/>
          <w:szCs w:val="24"/>
        </w:rPr>
        <w:t>3.关于资格文件的声明函；</w:t>
      </w:r>
    </w:p>
    <w:p>
      <w:pPr>
        <w:pStyle w:val="17"/>
        <w:spacing w:line="360" w:lineRule="auto"/>
        <w:ind w:firstLine="480" w:firstLineChars="200"/>
        <w:rPr>
          <w:rFonts w:hAnsiTheme="minorEastAsia"/>
          <w:b w:val="0"/>
          <w:sz w:val="24"/>
          <w:szCs w:val="24"/>
        </w:rPr>
      </w:pPr>
      <w:r>
        <w:rPr>
          <w:rFonts w:hint="eastAsia" w:hAnsiTheme="minorEastAsia"/>
          <w:b w:val="0"/>
          <w:sz w:val="24"/>
          <w:szCs w:val="24"/>
        </w:rPr>
        <w:t>4.供应商《营业执照》副本复印件；</w:t>
      </w:r>
    </w:p>
    <w:p>
      <w:pPr>
        <w:pStyle w:val="17"/>
        <w:spacing w:line="360" w:lineRule="auto"/>
        <w:ind w:firstLine="480" w:firstLineChars="200"/>
        <w:rPr>
          <w:rFonts w:hAnsiTheme="minorEastAsia"/>
          <w:b w:val="0"/>
          <w:sz w:val="24"/>
          <w:szCs w:val="24"/>
        </w:rPr>
      </w:pPr>
      <w:r>
        <w:rPr>
          <w:rFonts w:hint="eastAsia" w:hAnsiTheme="minorEastAsia"/>
          <w:b w:val="0"/>
          <w:sz w:val="24"/>
          <w:szCs w:val="24"/>
        </w:rPr>
        <w:t>5.供应商《税务登记证》副本复印件（三证合一无需提供）；</w:t>
      </w:r>
    </w:p>
    <w:p>
      <w:pPr>
        <w:pStyle w:val="17"/>
        <w:spacing w:line="360" w:lineRule="auto"/>
        <w:ind w:firstLine="480" w:firstLineChars="200"/>
        <w:rPr>
          <w:rFonts w:hAnsiTheme="minorEastAsia"/>
          <w:b w:val="0"/>
          <w:sz w:val="24"/>
          <w:szCs w:val="24"/>
        </w:rPr>
      </w:pPr>
      <w:r>
        <w:rPr>
          <w:rFonts w:hint="eastAsia" w:hAnsiTheme="minorEastAsia"/>
          <w:b w:val="0"/>
          <w:sz w:val="24"/>
          <w:szCs w:val="24"/>
        </w:rPr>
        <w:t>6.法定代表人授权委托书（如有授权）；</w:t>
      </w:r>
    </w:p>
    <w:p>
      <w:pPr>
        <w:pStyle w:val="17"/>
        <w:spacing w:line="360" w:lineRule="auto"/>
        <w:ind w:firstLine="480" w:firstLineChars="200"/>
        <w:rPr>
          <w:rFonts w:hAnsiTheme="minorEastAsia"/>
          <w:b w:val="0"/>
          <w:sz w:val="24"/>
          <w:szCs w:val="24"/>
        </w:rPr>
      </w:pPr>
      <w:r>
        <w:rPr>
          <w:rFonts w:hint="eastAsia" w:hAnsiTheme="minorEastAsia"/>
          <w:b w:val="0"/>
          <w:sz w:val="24"/>
          <w:szCs w:val="24"/>
        </w:rPr>
        <w:t>7.供应商法定代表人身份证复印件；</w:t>
      </w:r>
    </w:p>
    <w:p>
      <w:pPr>
        <w:pStyle w:val="17"/>
        <w:spacing w:line="360" w:lineRule="auto"/>
        <w:ind w:firstLine="480" w:firstLineChars="200"/>
        <w:rPr>
          <w:rFonts w:hAnsiTheme="minorEastAsia"/>
          <w:b w:val="0"/>
          <w:sz w:val="24"/>
          <w:szCs w:val="24"/>
        </w:rPr>
      </w:pPr>
      <w:r>
        <w:rPr>
          <w:rFonts w:hint="eastAsia" w:hAnsiTheme="minorEastAsia"/>
          <w:b w:val="0"/>
          <w:sz w:val="24"/>
          <w:szCs w:val="24"/>
        </w:rPr>
        <w:t>8.供应商代理人身份证复印件（如有授权）；</w:t>
      </w:r>
    </w:p>
    <w:p>
      <w:pPr>
        <w:pStyle w:val="17"/>
        <w:spacing w:line="360" w:lineRule="auto"/>
        <w:ind w:firstLine="480" w:firstLineChars="200"/>
        <w:rPr>
          <w:rFonts w:hAnsiTheme="minorEastAsia"/>
          <w:b w:val="0"/>
          <w:sz w:val="24"/>
          <w:szCs w:val="24"/>
        </w:rPr>
      </w:pPr>
      <w:r>
        <w:rPr>
          <w:rFonts w:hint="eastAsia" w:hAnsiTheme="minorEastAsia"/>
          <w:b w:val="0"/>
          <w:sz w:val="24"/>
          <w:szCs w:val="24"/>
        </w:rPr>
        <w:t>9.《中小企业声明函》及其附件资料（如有）；</w:t>
      </w:r>
    </w:p>
    <w:p>
      <w:pPr>
        <w:pStyle w:val="17"/>
        <w:spacing w:line="360" w:lineRule="auto"/>
        <w:ind w:firstLine="480" w:firstLineChars="200"/>
        <w:rPr>
          <w:rFonts w:hAnsiTheme="minorEastAsia"/>
          <w:b w:val="0"/>
          <w:sz w:val="24"/>
          <w:szCs w:val="24"/>
        </w:rPr>
      </w:pPr>
      <w:r>
        <w:rPr>
          <w:rFonts w:hint="eastAsia" w:hAnsiTheme="minorEastAsia"/>
          <w:b w:val="0"/>
          <w:sz w:val="24"/>
          <w:szCs w:val="24"/>
        </w:rPr>
        <w:t>10.响应服务内容的说明与描述；</w:t>
      </w:r>
    </w:p>
    <w:p>
      <w:pPr>
        <w:pStyle w:val="17"/>
        <w:spacing w:line="360" w:lineRule="auto"/>
        <w:ind w:firstLine="480" w:firstLineChars="200"/>
        <w:rPr>
          <w:rFonts w:hAnsiTheme="minorEastAsia"/>
          <w:b w:val="0"/>
          <w:sz w:val="24"/>
          <w:szCs w:val="24"/>
        </w:rPr>
      </w:pPr>
      <w:r>
        <w:rPr>
          <w:rFonts w:hint="eastAsia" w:hAnsiTheme="minorEastAsia"/>
          <w:b w:val="0"/>
          <w:sz w:val="24"/>
          <w:szCs w:val="24"/>
        </w:rPr>
        <w:t>注：供应商必须提交上述1-10款规定的资料。否则，响应文件将因资格条件不符或未实质响应谈判文件而被拒绝。</w:t>
      </w:r>
    </w:p>
    <w:p>
      <w:pPr>
        <w:spacing w:line="400" w:lineRule="exact"/>
        <w:rPr>
          <w:rFonts w:cs="宋体" w:hAnsiTheme="minorEastAsia"/>
          <w:b w:val="0"/>
          <w:bCs/>
        </w:rPr>
      </w:pPr>
    </w:p>
    <w:sectPr>
      <w:pgSz w:w="11906" w:h="16838"/>
      <w:pgMar w:top="1440" w:right="1800" w:bottom="1440" w:left="1800" w:header="851" w:footer="992" w:gutter="0"/>
      <w:cols w:space="425" w:num="1"/>
      <w:docGrid w:type="lines" w:linePitch="38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BD492D"/>
    <w:multiLevelType w:val="multilevel"/>
    <w:tmpl w:val="48BD492D"/>
    <w:lvl w:ilvl="0" w:tentative="0">
      <w:start w:val="1"/>
      <w:numFmt w:val="chineseCountingThousand"/>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8634F4"/>
    <w:multiLevelType w:val="multilevel"/>
    <w:tmpl w:val="528634F4"/>
    <w:lvl w:ilvl="0" w:tentative="0">
      <w:start w:val="1"/>
      <w:numFmt w:val="decimal"/>
      <w:lvlText w:val="%1、"/>
      <w:lvlJc w:val="left"/>
      <w:pPr>
        <w:ind w:left="1440" w:hanging="720"/>
      </w:pPr>
      <w:rPr>
        <w:rFonts w:hint="default"/>
      </w:rPr>
    </w:lvl>
    <w:lvl w:ilvl="1" w:tentative="0">
      <w:start w:val="1"/>
      <w:numFmt w:val="lowerLetter"/>
      <w:lvlText w:val="%2)"/>
      <w:lvlJc w:val="left"/>
      <w:pPr>
        <w:ind w:left="1560" w:hanging="420"/>
      </w:pPr>
    </w:lvl>
    <w:lvl w:ilvl="2" w:tentative="0">
      <w:start w:val="1"/>
      <w:numFmt w:val="lowerRoman"/>
      <w:lvlText w:val="%3."/>
      <w:lvlJc w:val="right"/>
      <w:pPr>
        <w:ind w:left="1980" w:hanging="420"/>
      </w:pPr>
    </w:lvl>
    <w:lvl w:ilvl="3" w:tentative="0">
      <w:start w:val="1"/>
      <w:numFmt w:val="decimal"/>
      <w:lvlText w:val="%4."/>
      <w:lvlJc w:val="left"/>
      <w:pPr>
        <w:ind w:left="2400" w:hanging="420"/>
      </w:pPr>
    </w:lvl>
    <w:lvl w:ilvl="4" w:tentative="0">
      <w:start w:val="1"/>
      <w:numFmt w:val="lowerLetter"/>
      <w:lvlText w:val="%5)"/>
      <w:lvlJc w:val="left"/>
      <w:pPr>
        <w:ind w:left="2820" w:hanging="420"/>
      </w:pPr>
    </w:lvl>
    <w:lvl w:ilvl="5" w:tentative="0">
      <w:start w:val="1"/>
      <w:numFmt w:val="lowerRoman"/>
      <w:lvlText w:val="%6."/>
      <w:lvlJc w:val="right"/>
      <w:pPr>
        <w:ind w:left="3240" w:hanging="420"/>
      </w:pPr>
    </w:lvl>
    <w:lvl w:ilvl="6" w:tentative="0">
      <w:start w:val="1"/>
      <w:numFmt w:val="decimal"/>
      <w:lvlText w:val="%7."/>
      <w:lvlJc w:val="left"/>
      <w:pPr>
        <w:ind w:left="3660" w:hanging="420"/>
      </w:pPr>
    </w:lvl>
    <w:lvl w:ilvl="7" w:tentative="0">
      <w:start w:val="1"/>
      <w:numFmt w:val="lowerLetter"/>
      <w:lvlText w:val="%8)"/>
      <w:lvlJc w:val="left"/>
      <w:pPr>
        <w:ind w:left="4080" w:hanging="420"/>
      </w:pPr>
    </w:lvl>
    <w:lvl w:ilvl="8" w:tentative="0">
      <w:start w:val="1"/>
      <w:numFmt w:val="lowerRoman"/>
      <w:lvlText w:val="%9."/>
      <w:lvlJc w:val="right"/>
      <w:pPr>
        <w:ind w:left="450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281"/>
  <w:drawingGridVerticalSpacing w:val="191"/>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2A75D0"/>
    <w:rsid w:val="00016AB2"/>
    <w:rsid w:val="000C732F"/>
    <w:rsid w:val="001630ED"/>
    <w:rsid w:val="001779EA"/>
    <w:rsid w:val="001D2A4B"/>
    <w:rsid w:val="0023524C"/>
    <w:rsid w:val="002852E3"/>
    <w:rsid w:val="002A75D0"/>
    <w:rsid w:val="002F7637"/>
    <w:rsid w:val="0033402E"/>
    <w:rsid w:val="0037244E"/>
    <w:rsid w:val="004F0B3F"/>
    <w:rsid w:val="004F3AF5"/>
    <w:rsid w:val="00626B6F"/>
    <w:rsid w:val="006616EA"/>
    <w:rsid w:val="00822536"/>
    <w:rsid w:val="0099555C"/>
    <w:rsid w:val="00C307B4"/>
    <w:rsid w:val="00CB04FA"/>
    <w:rsid w:val="00F15290"/>
    <w:rsid w:val="00FF2126"/>
    <w:rsid w:val="00FF4F10"/>
    <w:rsid w:val="018B28E1"/>
    <w:rsid w:val="3A641715"/>
    <w:rsid w:val="4E4D12FA"/>
    <w:rsid w:val="57896A97"/>
    <w:rsid w:val="579057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EastAsia" w:hAnsiTheme="minorHAnsi" w:eastAsiaTheme="minorEastAsia" w:cstheme="minorEastAsi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iPriority="99" w:semiHidden="0"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EastAsia" w:hAnsiTheme="minorHAnsi" w:eastAsiaTheme="minorEastAsia" w:cstheme="minorEastAsia"/>
      <w:b/>
      <w:kern w:val="44"/>
      <w:sz w:val="28"/>
      <w:szCs w:val="28"/>
      <w:lang w:val="en-US" w:eastAsia="zh-CN" w:bidi="ar-SA"/>
    </w:rPr>
  </w:style>
  <w:style w:type="paragraph" w:styleId="2">
    <w:name w:val="heading 1"/>
    <w:basedOn w:val="1"/>
    <w:next w:val="1"/>
    <w:link w:val="18"/>
    <w:qFormat/>
    <w:uiPriority w:val="9"/>
    <w:pPr>
      <w:keepNext/>
      <w:keepLines/>
      <w:spacing w:before="340" w:after="330" w:line="578" w:lineRule="auto"/>
      <w:outlineLvl w:val="0"/>
    </w:pPr>
    <w:rPr>
      <w:bCs/>
      <w:sz w:val="44"/>
      <w:szCs w:val="44"/>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Document Map"/>
    <w:basedOn w:val="1"/>
    <w:link w:val="16"/>
    <w:semiHidden/>
    <w:unhideWhenUsed/>
    <w:qFormat/>
    <w:uiPriority w:val="99"/>
    <w:rPr>
      <w:rFonts w:ascii="宋体" w:eastAsia="宋体"/>
      <w:sz w:val="18"/>
      <w:szCs w:val="18"/>
    </w:rPr>
  </w:style>
  <w:style w:type="paragraph" w:styleId="4">
    <w:name w:val="footer"/>
    <w:basedOn w:val="1"/>
    <w:link w:val="15"/>
    <w:semiHidden/>
    <w:unhideWhenUsed/>
    <w:qFormat/>
    <w:uiPriority w:val="99"/>
    <w:pPr>
      <w:tabs>
        <w:tab w:val="center" w:pos="4153"/>
        <w:tab w:val="right" w:pos="8306"/>
      </w:tabs>
      <w:snapToGrid w:val="0"/>
      <w:jc w:val="left"/>
    </w:pPr>
    <w:rPr>
      <w:sz w:val="18"/>
      <w:szCs w:val="18"/>
    </w:rPr>
  </w:style>
  <w:style w:type="paragraph" w:styleId="5">
    <w:name w:val="header"/>
    <w:basedOn w:val="1"/>
    <w:link w:val="14"/>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Body Text Indent 3"/>
    <w:basedOn w:val="1"/>
    <w:link w:val="11"/>
    <w:unhideWhenUsed/>
    <w:qFormat/>
    <w:uiPriority w:val="99"/>
    <w:pPr>
      <w:widowControl/>
      <w:spacing w:line="360" w:lineRule="auto"/>
      <w:ind w:firstLine="480" w:firstLineChars="200"/>
    </w:pPr>
    <w:rPr>
      <w:rFonts w:ascii="Times New Roman" w:hAnsi="Times New Roman" w:eastAsia="宋体" w:cs="Times New Roman"/>
      <w:b w:val="0"/>
      <w:kern w:val="0"/>
      <w:sz w:val="24"/>
      <w:szCs w:val="20"/>
    </w:rPr>
  </w:style>
  <w:style w:type="paragraph" w:styleId="7">
    <w:name w:val="Normal (Web)"/>
    <w:basedOn w:val="1"/>
    <w:qFormat/>
    <w:uiPriority w:val="99"/>
    <w:pPr>
      <w:widowControl/>
      <w:spacing w:before="136" w:after="136"/>
      <w:jc w:val="left"/>
    </w:pPr>
    <w:rPr>
      <w:rFonts w:ascii="宋体" w:hAnsi="宋体" w:eastAsia="宋体" w:cs="宋体"/>
      <w:b w:val="0"/>
      <w:kern w:val="0"/>
      <w:sz w:val="24"/>
      <w:szCs w:val="24"/>
    </w:rPr>
  </w:style>
  <w:style w:type="paragraph" w:styleId="10">
    <w:name w:val="List Paragraph"/>
    <w:basedOn w:val="1"/>
    <w:qFormat/>
    <w:uiPriority w:val="34"/>
    <w:pPr>
      <w:ind w:firstLine="420" w:firstLineChars="200"/>
    </w:pPr>
  </w:style>
  <w:style w:type="character" w:customStyle="1" w:styleId="11">
    <w:name w:val="正文文本缩进 3 Char"/>
    <w:basedOn w:val="9"/>
    <w:link w:val="6"/>
    <w:qFormat/>
    <w:uiPriority w:val="99"/>
    <w:rPr>
      <w:rFonts w:ascii="Times New Roman" w:hAnsi="Times New Roman" w:eastAsia="宋体" w:cs="Times New Roman"/>
      <w:kern w:val="0"/>
      <w:sz w:val="24"/>
      <w:szCs w:val="20"/>
    </w:rPr>
  </w:style>
  <w:style w:type="character" w:customStyle="1" w:styleId="12">
    <w:name w:val="_正文段落 Char"/>
    <w:link w:val="13"/>
    <w:qFormat/>
    <w:locked/>
    <w:uiPriority w:val="0"/>
    <w:rPr>
      <w:rFonts w:ascii="宋体" w:hAnsi="宋体"/>
      <w:sz w:val="24"/>
      <w:szCs w:val="24"/>
    </w:rPr>
  </w:style>
  <w:style w:type="paragraph" w:customStyle="1" w:styleId="13">
    <w:name w:val="_正文段落"/>
    <w:basedOn w:val="1"/>
    <w:link w:val="12"/>
    <w:qFormat/>
    <w:uiPriority w:val="0"/>
    <w:pPr>
      <w:spacing w:beforeLines="15" w:line="360" w:lineRule="auto"/>
      <w:ind w:firstLine="480" w:firstLineChars="200"/>
    </w:pPr>
    <w:rPr>
      <w:rFonts w:ascii="宋体" w:hAnsi="宋体"/>
      <w:sz w:val="24"/>
      <w:szCs w:val="24"/>
    </w:rPr>
  </w:style>
  <w:style w:type="character" w:customStyle="1" w:styleId="14">
    <w:name w:val="页眉 Char"/>
    <w:basedOn w:val="9"/>
    <w:link w:val="5"/>
    <w:semiHidden/>
    <w:qFormat/>
    <w:uiPriority w:val="99"/>
    <w:rPr>
      <w:sz w:val="18"/>
      <w:szCs w:val="18"/>
    </w:rPr>
  </w:style>
  <w:style w:type="character" w:customStyle="1" w:styleId="15">
    <w:name w:val="页脚 Char"/>
    <w:basedOn w:val="9"/>
    <w:link w:val="4"/>
    <w:semiHidden/>
    <w:qFormat/>
    <w:uiPriority w:val="99"/>
    <w:rPr>
      <w:sz w:val="18"/>
      <w:szCs w:val="18"/>
    </w:rPr>
  </w:style>
  <w:style w:type="character" w:customStyle="1" w:styleId="16">
    <w:name w:val="文档结构图 Char"/>
    <w:basedOn w:val="9"/>
    <w:link w:val="3"/>
    <w:semiHidden/>
    <w:qFormat/>
    <w:uiPriority w:val="99"/>
    <w:rPr>
      <w:rFonts w:ascii="宋体" w:eastAsia="宋体"/>
      <w:sz w:val="18"/>
      <w:szCs w:val="18"/>
    </w:rPr>
  </w:style>
  <w:style w:type="paragraph" w:styleId="17">
    <w:name w:val="No Spacing"/>
    <w:qFormat/>
    <w:uiPriority w:val="1"/>
    <w:pPr>
      <w:widowControl w:val="0"/>
      <w:jc w:val="both"/>
    </w:pPr>
    <w:rPr>
      <w:rFonts w:asciiTheme="minorEastAsia" w:hAnsiTheme="minorHAnsi" w:eastAsiaTheme="minorEastAsia" w:cstheme="minorEastAsia"/>
      <w:b/>
      <w:kern w:val="44"/>
      <w:sz w:val="28"/>
      <w:szCs w:val="28"/>
      <w:lang w:val="en-US" w:eastAsia="zh-CN" w:bidi="ar-SA"/>
    </w:rPr>
  </w:style>
  <w:style w:type="character" w:customStyle="1" w:styleId="18">
    <w:name w:val="标题 1 Char"/>
    <w:basedOn w:val="9"/>
    <w:link w:val="2"/>
    <w:qFormat/>
    <w:uiPriority w:val="9"/>
    <w:rPr>
      <w:bCs/>
      <w:sz w:val="44"/>
      <w:szCs w:val="4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235</Words>
  <Characters>1343</Characters>
  <Lines>11</Lines>
  <Paragraphs>3</Paragraphs>
  <TotalTime>25</TotalTime>
  <ScaleCrop>false</ScaleCrop>
  <LinksUpToDate>false</LinksUpToDate>
  <CharactersWithSpaces>1575</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2020-06-16T04:53:00Z</dcterms:created>
  <dc:creator>ll</dc:creator>
  <cp:lastModifiedBy>宇</cp:lastModifiedBy>
  <cp:lastPrinted>2020-07-06T01:42:00Z</cp:lastPrinted>
  <dcterms:modified xsi:type="dcterms:W3CDTF">2020-07-06T02:52:59Z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